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附件：第11届世界华文传媒与华夏文明国际学术研讨会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参会回执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5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870"/>
        <w:gridCol w:w="624"/>
        <w:gridCol w:w="636"/>
        <w:gridCol w:w="954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职称/职务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单位及通讯地址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电话与邮箱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论文题目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内容摘要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方正清刻本悦宋简体" w:hAnsi="方正清刻本悦宋简体" w:eastAsia="方正清刻本悦宋简体" w:cs="方正清刻本悦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ul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92AC0"/>
    <w:rsid w:val="5ACE32F3"/>
    <w:rsid w:val="608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2021-02-20T03:49:20Z</dcterms:created>
  <dc:creator>刘璇</dc:creator>
  <cp:lastModifiedBy>J3228刘璇</cp:lastModifiedBy>
  <dcterms:modified xsi:type="dcterms:W3CDTF">2021-02-20T12:14:39Z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